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2F6" w:rsidRDefault="00E902F6" w:rsidP="00E902F6">
      <w:pPr>
        <w:pStyle w:val="p2"/>
        <w:spacing w:before="0" w:after="0"/>
        <w:jc w:val="center"/>
        <w:rPr>
          <w:color w:val="000000"/>
          <w:sz w:val="40"/>
          <w:szCs w:val="40"/>
          <w:u w:val="single"/>
        </w:rPr>
      </w:pPr>
      <w:r w:rsidRPr="003C156D">
        <w:rPr>
          <w:color w:val="000000"/>
          <w:sz w:val="40"/>
          <w:szCs w:val="40"/>
          <w:u w:val="single"/>
        </w:rPr>
        <w:t>Пример</w:t>
      </w:r>
    </w:p>
    <w:p w:rsidR="00E902F6" w:rsidRPr="003C156D" w:rsidRDefault="00E902F6" w:rsidP="00E902F6">
      <w:pPr>
        <w:pStyle w:val="p2"/>
        <w:spacing w:before="0" w:after="0"/>
        <w:jc w:val="center"/>
        <w:rPr>
          <w:color w:val="000000"/>
          <w:sz w:val="40"/>
          <w:szCs w:val="40"/>
          <w:u w:val="single"/>
        </w:rPr>
      </w:pPr>
    </w:p>
    <w:p w:rsidR="00E902F6" w:rsidRPr="00AD08D4" w:rsidRDefault="00E902F6" w:rsidP="00E902F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AD08D4">
        <w:rPr>
          <w:rFonts w:ascii="Times New Roman" w:hAnsi="Times New Roman"/>
          <w:i/>
          <w:sz w:val="24"/>
          <w:szCs w:val="24"/>
        </w:rPr>
        <w:t>Д. А. Ерёмин</w:t>
      </w:r>
    </w:p>
    <w:p w:rsidR="00E902F6" w:rsidRPr="00AD08D4" w:rsidRDefault="00E902F6" w:rsidP="00E902F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AD08D4">
        <w:rPr>
          <w:rFonts w:ascii="Times New Roman" w:hAnsi="Times New Roman"/>
          <w:i/>
          <w:sz w:val="24"/>
          <w:szCs w:val="24"/>
        </w:rPr>
        <w:t>А. А. Кузьменков</w:t>
      </w:r>
    </w:p>
    <w:p w:rsidR="00E902F6" w:rsidRPr="00AD08D4" w:rsidRDefault="00E902F6" w:rsidP="00E902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D08D4">
        <w:rPr>
          <w:rFonts w:ascii="Times New Roman" w:hAnsi="Times New Roman"/>
          <w:sz w:val="24"/>
          <w:szCs w:val="24"/>
        </w:rPr>
        <w:t>Петрозаводский государственный университет</w:t>
      </w:r>
    </w:p>
    <w:p w:rsidR="00E902F6" w:rsidRPr="00AD08D4" w:rsidRDefault="00E902F6" w:rsidP="00E902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D08D4">
        <w:rPr>
          <w:rFonts w:ascii="Times New Roman" w:hAnsi="Times New Roman"/>
          <w:sz w:val="24"/>
          <w:szCs w:val="24"/>
        </w:rPr>
        <w:t>Петрозаводск, Россия</w:t>
      </w:r>
    </w:p>
    <w:p w:rsidR="00E902F6" w:rsidRPr="00AD08D4" w:rsidRDefault="00E902F6" w:rsidP="00E902F6">
      <w:pPr>
        <w:suppressAutoHyphens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AD08D4"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  <w:t>Д. В. Москвин</w:t>
      </w:r>
      <w:r w:rsidRPr="00AD08D4"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  <w:br/>
      </w:r>
      <w:r w:rsidRPr="00AD08D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ООО «Производственная компания Дома Карелии»</w:t>
      </w:r>
    </w:p>
    <w:p w:rsidR="00E902F6" w:rsidRPr="00AD08D4" w:rsidRDefault="00E902F6" w:rsidP="00E902F6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  <w:r w:rsidRPr="00AD08D4">
        <w:rPr>
          <w:rFonts w:ascii="Times New Roman" w:hAnsi="Times New Roman"/>
          <w:color w:val="000000"/>
          <w:sz w:val="24"/>
          <w:szCs w:val="24"/>
        </w:rPr>
        <w:t>Петрозаводск, Россия</w:t>
      </w:r>
    </w:p>
    <w:p w:rsidR="00E902F6" w:rsidRPr="00AD08D4" w:rsidRDefault="00E902F6" w:rsidP="00E902F6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E902F6" w:rsidRPr="00AD08D4" w:rsidRDefault="00E902F6" w:rsidP="00E902F6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AD08D4">
        <w:rPr>
          <w:rFonts w:ascii="Times New Roman" w:hAnsi="Times New Roman"/>
          <w:caps/>
          <w:sz w:val="24"/>
          <w:szCs w:val="24"/>
        </w:rPr>
        <w:t>ОБОСНОВАНИЕ ПРОДОЛЖИТЕЛЬНОСТИ СТРОИТЕЛЬСТВА ТУРИСТИЧЕСКОГО МАЛОЭТАЖНОГО КОМПЛЕКСА ИЗ ОДНОТИПНЫХ ДЕРЕВЯННО-КАРКАСНЫХ ЗДАНИЙ</w:t>
      </w:r>
    </w:p>
    <w:p w:rsidR="00E902F6" w:rsidRPr="00AD08D4" w:rsidRDefault="00E902F6" w:rsidP="00E902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902F6" w:rsidRPr="00AD08D4" w:rsidRDefault="00E902F6" w:rsidP="00E902F6">
      <w:pPr>
        <w:spacing w:after="0" w:line="240" w:lineRule="auto"/>
        <w:ind w:firstLine="567"/>
        <w:jc w:val="both"/>
        <w:rPr>
          <w:rFonts w:ascii="Times New Roman" w:hAnsi="Times New Roman"/>
          <w:spacing w:val="3"/>
          <w:sz w:val="24"/>
          <w:szCs w:val="24"/>
          <w:shd w:val="clear" w:color="auto" w:fill="FFFFFF"/>
        </w:rPr>
      </w:pPr>
      <w:r w:rsidRPr="00AD08D4">
        <w:rPr>
          <w:rFonts w:ascii="Times New Roman" w:hAnsi="Times New Roman"/>
          <w:b/>
          <w:spacing w:val="3"/>
          <w:sz w:val="24"/>
          <w:szCs w:val="24"/>
          <w:shd w:val="clear" w:color="auto" w:fill="FFFFFF"/>
        </w:rPr>
        <w:t>Аннотация</w:t>
      </w:r>
      <w:r w:rsidRPr="00AD08D4">
        <w:rPr>
          <w:rFonts w:ascii="Times New Roman" w:hAnsi="Times New Roman"/>
          <w:spacing w:val="3"/>
          <w:sz w:val="24"/>
          <w:szCs w:val="24"/>
          <w:shd w:val="clear" w:color="auto" w:fill="FFFFFF"/>
        </w:rPr>
        <w:t>. В статье представлено расчетное обоснование продолжительности строительства туристического комплекса, реализованного из однотипных малоэтажных деревянно-каркасных зданий. В качестве объекта исследования рассмотрен туристический комплекс в г. Сегежа Республики Карелия. В качестве основного метода организации строительства применен метод поточной организации строительно-монтажных работ. Расчетное обоснование продолжительности строительства выполнено с использованием методов сетевого планирования и моделирования. В рамках исследования реализовано вариантное проектирование календарного плана строительства комплекса объектов в виде организационно-технологических моделей для каждого рассматриваемого варианта. Конечный вариант календарного плана получен путем поэтапной оптимизации первоначального варианта календарного плана. Оптимизация выполнялась, как по временным, так и по ресурсным характеристикам. В результате проведенной оптимизации удалось существенно сократить продолжительность строительства комплекса относительно первоначально рассчитанной, при этом обеспечив достаточное равномерное распределение рабочей силы в течение строительства.</w:t>
      </w:r>
    </w:p>
    <w:p w:rsidR="00E902F6" w:rsidRPr="00AD08D4" w:rsidRDefault="00E902F6" w:rsidP="00E902F6">
      <w:pPr>
        <w:spacing w:after="0" w:line="240" w:lineRule="auto"/>
        <w:ind w:firstLine="567"/>
        <w:jc w:val="both"/>
        <w:rPr>
          <w:rFonts w:ascii="Times New Roman" w:hAnsi="Times New Roman"/>
          <w:spacing w:val="3"/>
          <w:sz w:val="24"/>
          <w:szCs w:val="24"/>
          <w:shd w:val="clear" w:color="auto" w:fill="FFFFFF"/>
        </w:rPr>
      </w:pPr>
      <w:r w:rsidRPr="00AD08D4">
        <w:rPr>
          <w:rFonts w:ascii="Times New Roman" w:hAnsi="Times New Roman"/>
          <w:b/>
          <w:spacing w:val="3"/>
          <w:sz w:val="24"/>
          <w:szCs w:val="24"/>
          <w:shd w:val="clear" w:color="auto" w:fill="FFFFFF"/>
        </w:rPr>
        <w:t>Ключевые слова</w:t>
      </w:r>
      <w:r w:rsidRPr="00AD08D4">
        <w:rPr>
          <w:rFonts w:ascii="Times New Roman" w:hAnsi="Times New Roman"/>
          <w:spacing w:val="3"/>
          <w:sz w:val="24"/>
          <w:szCs w:val="24"/>
          <w:shd w:val="clear" w:color="auto" w:fill="FFFFFF"/>
        </w:rPr>
        <w:t>: малоэтажное строительство, поточная организация строительства, сетевое планирование и моделирование, вариантное проектирование календарного плана, оптимизация календарного плана</w:t>
      </w:r>
    </w:p>
    <w:p w:rsidR="00E902F6" w:rsidRPr="00AD08D4" w:rsidRDefault="00E902F6" w:rsidP="00E902F6">
      <w:pPr>
        <w:spacing w:after="0" w:line="240" w:lineRule="auto"/>
        <w:jc w:val="both"/>
        <w:rPr>
          <w:rFonts w:ascii="Times New Roman" w:hAnsi="Times New Roman"/>
          <w:spacing w:val="3"/>
          <w:sz w:val="24"/>
          <w:szCs w:val="24"/>
          <w:shd w:val="clear" w:color="auto" w:fill="FFFFFF"/>
        </w:rPr>
      </w:pPr>
    </w:p>
    <w:p w:rsidR="00E902F6" w:rsidRPr="00AD08D4" w:rsidRDefault="00E902F6" w:rsidP="00E902F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en-US"/>
        </w:rPr>
      </w:pPr>
      <w:r w:rsidRPr="00AD08D4">
        <w:rPr>
          <w:rFonts w:ascii="Times New Roman" w:hAnsi="Times New Roman"/>
          <w:i/>
          <w:sz w:val="24"/>
          <w:szCs w:val="24"/>
          <w:lang w:val="en-US"/>
        </w:rPr>
        <w:t xml:space="preserve">D. A. </w:t>
      </w:r>
      <w:proofErr w:type="spellStart"/>
      <w:r w:rsidRPr="00AD08D4">
        <w:rPr>
          <w:rFonts w:ascii="Times New Roman" w:hAnsi="Times New Roman"/>
          <w:i/>
          <w:sz w:val="24"/>
          <w:szCs w:val="24"/>
          <w:lang w:val="en-US"/>
        </w:rPr>
        <w:t>Eremin</w:t>
      </w:r>
      <w:proofErr w:type="spellEnd"/>
    </w:p>
    <w:p w:rsidR="00E902F6" w:rsidRPr="00AD08D4" w:rsidRDefault="00E902F6" w:rsidP="00E902F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en-US"/>
        </w:rPr>
      </w:pPr>
      <w:r w:rsidRPr="00AD08D4">
        <w:rPr>
          <w:rFonts w:ascii="Times New Roman" w:hAnsi="Times New Roman"/>
          <w:i/>
          <w:sz w:val="24"/>
          <w:szCs w:val="24"/>
          <w:lang w:val="en-US"/>
        </w:rPr>
        <w:t xml:space="preserve">A. A. </w:t>
      </w:r>
      <w:proofErr w:type="spellStart"/>
      <w:r w:rsidRPr="00AD08D4">
        <w:rPr>
          <w:rFonts w:ascii="Times New Roman" w:hAnsi="Times New Roman"/>
          <w:i/>
          <w:sz w:val="24"/>
          <w:szCs w:val="24"/>
          <w:lang w:val="en-US"/>
        </w:rPr>
        <w:t>Kuzmenkov</w:t>
      </w:r>
      <w:proofErr w:type="spellEnd"/>
    </w:p>
    <w:p w:rsidR="00E902F6" w:rsidRPr="00AD08D4" w:rsidRDefault="00E902F6" w:rsidP="00E902F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AD08D4">
        <w:rPr>
          <w:rFonts w:ascii="Times New Roman" w:hAnsi="Times New Roman"/>
          <w:sz w:val="24"/>
          <w:szCs w:val="24"/>
          <w:lang w:val="en-US"/>
        </w:rPr>
        <w:t>Petrozavodsk State University</w:t>
      </w:r>
    </w:p>
    <w:p w:rsidR="00E902F6" w:rsidRPr="00AD08D4" w:rsidRDefault="00E902F6" w:rsidP="00E902F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AD08D4">
        <w:rPr>
          <w:rFonts w:ascii="Times New Roman" w:hAnsi="Times New Roman"/>
          <w:sz w:val="24"/>
          <w:szCs w:val="24"/>
          <w:lang w:val="en-US"/>
        </w:rPr>
        <w:t>Petrozavodsk, Russia</w:t>
      </w:r>
    </w:p>
    <w:p w:rsidR="00E902F6" w:rsidRPr="00AD08D4" w:rsidRDefault="00E902F6" w:rsidP="00E902F6">
      <w:pPr>
        <w:suppressAutoHyphens/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val="en-US" w:eastAsia="zh-CN"/>
        </w:rPr>
      </w:pPr>
      <w:r w:rsidRPr="00AD08D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zh-CN"/>
        </w:rPr>
        <w:t xml:space="preserve">D. V. </w:t>
      </w:r>
      <w:proofErr w:type="spellStart"/>
      <w:r w:rsidRPr="00AD08D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zh-CN"/>
        </w:rPr>
        <w:t>Moskvin</w:t>
      </w:r>
      <w:proofErr w:type="spellEnd"/>
    </w:p>
    <w:p w:rsidR="00E902F6" w:rsidRPr="00AD08D4" w:rsidRDefault="00E902F6" w:rsidP="00E902F6">
      <w:pPr>
        <w:suppressAutoHyphens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en-US" w:eastAsia="zh-CN"/>
        </w:rPr>
      </w:pPr>
      <w:r w:rsidRPr="00AD08D4">
        <w:rPr>
          <w:rFonts w:ascii="Times New Roman" w:eastAsia="Times New Roman" w:hAnsi="Times New Roman"/>
          <w:color w:val="000000"/>
          <w:sz w:val="24"/>
          <w:szCs w:val="24"/>
          <w:lang w:val="en-US" w:eastAsia="zh-CN"/>
        </w:rPr>
        <w:t>Production Company «Karelia Houses»</w:t>
      </w:r>
    </w:p>
    <w:p w:rsidR="00E902F6" w:rsidRPr="00AD08D4" w:rsidRDefault="00E902F6" w:rsidP="00E902F6">
      <w:pPr>
        <w:suppressAutoHyphens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en-US" w:eastAsia="zh-CN"/>
        </w:rPr>
      </w:pPr>
      <w:r w:rsidRPr="00AD08D4">
        <w:rPr>
          <w:rFonts w:ascii="Times New Roman" w:eastAsia="Times New Roman" w:hAnsi="Times New Roman"/>
          <w:color w:val="000000"/>
          <w:sz w:val="24"/>
          <w:szCs w:val="24"/>
          <w:lang w:val="en-US" w:eastAsia="zh-CN"/>
        </w:rPr>
        <w:t>Petrozavodsk, Russia</w:t>
      </w:r>
    </w:p>
    <w:p w:rsidR="00E902F6" w:rsidRPr="00AD08D4" w:rsidRDefault="00E902F6" w:rsidP="00E902F6">
      <w:pPr>
        <w:spacing w:after="0" w:line="240" w:lineRule="auto"/>
        <w:jc w:val="both"/>
        <w:rPr>
          <w:rFonts w:ascii="Times New Roman" w:hAnsi="Times New Roman"/>
          <w:spacing w:val="3"/>
          <w:sz w:val="24"/>
          <w:szCs w:val="24"/>
          <w:shd w:val="clear" w:color="auto" w:fill="FFFFFF"/>
          <w:lang w:val="en-US"/>
        </w:rPr>
      </w:pPr>
    </w:p>
    <w:p w:rsidR="00E902F6" w:rsidRPr="00AD08D4" w:rsidRDefault="00E902F6" w:rsidP="00E902F6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lang w:val="en-US"/>
        </w:rPr>
      </w:pPr>
      <w:r w:rsidRPr="00AD08D4">
        <w:rPr>
          <w:rFonts w:ascii="Times New Roman" w:hAnsi="Times New Roman"/>
          <w:caps/>
          <w:sz w:val="24"/>
          <w:szCs w:val="24"/>
          <w:lang w:val="en-US"/>
        </w:rPr>
        <w:t>CONSTRUCTION DURATION JUSTIFICATION OF A TOURIST LOW-RISE COMPLEX OF THE SAME TYPE WOODEN-FRAME BUILDINGS</w:t>
      </w:r>
    </w:p>
    <w:p w:rsidR="00E902F6" w:rsidRPr="00AD08D4" w:rsidRDefault="00E902F6" w:rsidP="00E902F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E902F6" w:rsidRPr="00AD08D4" w:rsidRDefault="00E902F6" w:rsidP="00E902F6">
      <w:pPr>
        <w:spacing w:after="160" w:line="256" w:lineRule="auto"/>
        <w:ind w:firstLine="567"/>
        <w:jc w:val="both"/>
        <w:rPr>
          <w:rFonts w:ascii="Times New Roman" w:hAnsi="Times New Roman"/>
          <w:spacing w:val="3"/>
          <w:sz w:val="24"/>
          <w:szCs w:val="24"/>
          <w:shd w:val="clear" w:color="auto" w:fill="FFFFFF"/>
          <w:lang w:val="en-US"/>
        </w:rPr>
      </w:pPr>
      <w:r w:rsidRPr="00AD08D4">
        <w:rPr>
          <w:rFonts w:ascii="Times New Roman" w:hAnsi="Times New Roman"/>
          <w:b/>
          <w:spacing w:val="3"/>
          <w:sz w:val="24"/>
          <w:szCs w:val="24"/>
          <w:shd w:val="clear" w:color="auto" w:fill="FFFFFF"/>
          <w:lang w:val="en-US"/>
        </w:rPr>
        <w:t>Abstract.</w:t>
      </w:r>
      <w:r w:rsidRPr="00AD08D4">
        <w:rPr>
          <w:rFonts w:ascii="Times New Roman" w:hAnsi="Times New Roman"/>
          <w:spacing w:val="3"/>
          <w:sz w:val="24"/>
          <w:szCs w:val="24"/>
          <w:shd w:val="clear" w:color="auto" w:fill="FFFFFF"/>
          <w:lang w:val="en-US"/>
        </w:rPr>
        <w:t xml:space="preserve"> The article presents a calculated justification for the duration of construction of a tourist complex made of the same type of low-rise wooden-frame buildings. The tourist complex in </w:t>
      </w:r>
      <w:proofErr w:type="spellStart"/>
      <w:r w:rsidRPr="00AD08D4">
        <w:rPr>
          <w:rFonts w:ascii="Times New Roman" w:hAnsi="Times New Roman"/>
          <w:spacing w:val="3"/>
          <w:sz w:val="24"/>
          <w:szCs w:val="24"/>
          <w:shd w:val="clear" w:color="auto" w:fill="FFFFFF"/>
          <w:lang w:val="en-US"/>
        </w:rPr>
        <w:t>Segezha</w:t>
      </w:r>
      <w:proofErr w:type="spellEnd"/>
      <w:r w:rsidRPr="00AD08D4">
        <w:rPr>
          <w:rFonts w:ascii="Times New Roman" w:hAnsi="Times New Roman"/>
          <w:spacing w:val="3"/>
          <w:sz w:val="24"/>
          <w:szCs w:val="24"/>
          <w:shd w:val="clear" w:color="auto" w:fill="FFFFFF"/>
          <w:lang w:val="en-US"/>
        </w:rPr>
        <w:t xml:space="preserve">, Republic of Karelia, </w:t>
      </w:r>
      <w:proofErr w:type="gramStart"/>
      <w:r w:rsidRPr="00AD08D4">
        <w:rPr>
          <w:rFonts w:ascii="Times New Roman" w:hAnsi="Times New Roman"/>
          <w:spacing w:val="3"/>
          <w:sz w:val="24"/>
          <w:szCs w:val="24"/>
          <w:shd w:val="clear" w:color="auto" w:fill="FFFFFF"/>
          <w:lang w:val="en-US"/>
        </w:rPr>
        <w:t>is considered</w:t>
      </w:r>
      <w:proofErr w:type="gramEnd"/>
      <w:r w:rsidRPr="00AD08D4">
        <w:rPr>
          <w:rFonts w:ascii="Times New Roman" w:hAnsi="Times New Roman"/>
          <w:spacing w:val="3"/>
          <w:sz w:val="24"/>
          <w:szCs w:val="24"/>
          <w:shd w:val="clear" w:color="auto" w:fill="FFFFFF"/>
          <w:lang w:val="en-US"/>
        </w:rPr>
        <w:t xml:space="preserve"> as an object of research. The method of on-line organization of construction and installation works </w:t>
      </w:r>
      <w:proofErr w:type="gramStart"/>
      <w:r w:rsidRPr="00AD08D4">
        <w:rPr>
          <w:rFonts w:ascii="Times New Roman" w:hAnsi="Times New Roman"/>
          <w:spacing w:val="3"/>
          <w:sz w:val="24"/>
          <w:szCs w:val="24"/>
          <w:shd w:val="clear" w:color="auto" w:fill="FFFFFF"/>
          <w:lang w:val="en-US"/>
        </w:rPr>
        <w:t>is used</w:t>
      </w:r>
      <w:proofErr w:type="gramEnd"/>
      <w:r w:rsidRPr="00AD08D4">
        <w:rPr>
          <w:rFonts w:ascii="Times New Roman" w:hAnsi="Times New Roman"/>
          <w:spacing w:val="3"/>
          <w:sz w:val="24"/>
          <w:szCs w:val="24"/>
          <w:shd w:val="clear" w:color="auto" w:fill="FFFFFF"/>
          <w:lang w:val="en-US"/>
        </w:rPr>
        <w:t xml:space="preserve"> as the main method of construction organization. The estimated justification of the construction duration </w:t>
      </w:r>
      <w:proofErr w:type="gramStart"/>
      <w:r w:rsidRPr="00AD08D4">
        <w:rPr>
          <w:rFonts w:ascii="Times New Roman" w:hAnsi="Times New Roman"/>
          <w:spacing w:val="3"/>
          <w:sz w:val="24"/>
          <w:szCs w:val="24"/>
          <w:shd w:val="clear" w:color="auto" w:fill="FFFFFF"/>
          <w:lang w:val="en-US"/>
        </w:rPr>
        <w:t>was carried</w:t>
      </w:r>
      <w:proofErr w:type="gramEnd"/>
      <w:r w:rsidRPr="00AD08D4">
        <w:rPr>
          <w:rFonts w:ascii="Times New Roman" w:hAnsi="Times New Roman"/>
          <w:spacing w:val="3"/>
          <w:sz w:val="24"/>
          <w:szCs w:val="24"/>
          <w:shd w:val="clear" w:color="auto" w:fill="FFFFFF"/>
          <w:lang w:val="en-US"/>
        </w:rPr>
        <w:t xml:space="preserve"> out using network planning and modeling methods. As part of the study, a variant design of the calendar plan for the construction of a complex of facilities </w:t>
      </w:r>
      <w:proofErr w:type="gramStart"/>
      <w:r w:rsidRPr="00AD08D4">
        <w:rPr>
          <w:rFonts w:ascii="Times New Roman" w:hAnsi="Times New Roman"/>
          <w:spacing w:val="3"/>
          <w:sz w:val="24"/>
          <w:szCs w:val="24"/>
          <w:shd w:val="clear" w:color="auto" w:fill="FFFFFF"/>
          <w:lang w:val="en-US"/>
        </w:rPr>
        <w:t>was implemented</w:t>
      </w:r>
      <w:proofErr w:type="gramEnd"/>
      <w:r w:rsidRPr="00AD08D4">
        <w:rPr>
          <w:rFonts w:ascii="Times New Roman" w:hAnsi="Times New Roman"/>
          <w:spacing w:val="3"/>
          <w:sz w:val="24"/>
          <w:szCs w:val="24"/>
          <w:shd w:val="clear" w:color="auto" w:fill="FFFFFF"/>
          <w:lang w:val="en-US"/>
        </w:rPr>
        <w:t xml:space="preserve"> in the form of organizational and technological models for each option under consideration. The final version of the calendar plan was obtained by </w:t>
      </w:r>
      <w:proofErr w:type="gramStart"/>
      <w:r w:rsidRPr="00AD08D4">
        <w:rPr>
          <w:rFonts w:ascii="Times New Roman" w:hAnsi="Times New Roman"/>
          <w:spacing w:val="3"/>
          <w:sz w:val="24"/>
          <w:szCs w:val="24"/>
          <w:shd w:val="clear" w:color="auto" w:fill="FFFFFF"/>
          <w:lang w:val="en-US"/>
        </w:rPr>
        <w:t>step-by-step</w:t>
      </w:r>
      <w:proofErr w:type="gramEnd"/>
      <w:r w:rsidRPr="00AD08D4">
        <w:rPr>
          <w:rFonts w:ascii="Times New Roman" w:hAnsi="Times New Roman"/>
          <w:spacing w:val="3"/>
          <w:sz w:val="24"/>
          <w:szCs w:val="24"/>
          <w:shd w:val="clear" w:color="auto" w:fill="FFFFFF"/>
          <w:lang w:val="en-US"/>
        </w:rPr>
        <w:t xml:space="preserve"> optimization of the initial version of the calendar plan. Optimization </w:t>
      </w:r>
      <w:proofErr w:type="gramStart"/>
      <w:r w:rsidRPr="00AD08D4">
        <w:rPr>
          <w:rFonts w:ascii="Times New Roman" w:hAnsi="Times New Roman"/>
          <w:spacing w:val="3"/>
          <w:sz w:val="24"/>
          <w:szCs w:val="24"/>
          <w:shd w:val="clear" w:color="auto" w:fill="FFFFFF"/>
          <w:lang w:val="en-US"/>
        </w:rPr>
        <w:t>was performed</w:t>
      </w:r>
      <w:proofErr w:type="gramEnd"/>
      <w:r w:rsidRPr="00AD08D4">
        <w:rPr>
          <w:rFonts w:ascii="Times New Roman" w:hAnsi="Times New Roman"/>
          <w:spacing w:val="3"/>
          <w:sz w:val="24"/>
          <w:szCs w:val="24"/>
          <w:shd w:val="clear" w:color="auto" w:fill="FFFFFF"/>
          <w:lang w:val="en-US"/>
        </w:rPr>
        <w:t xml:space="preserve"> both in terms of time and resource characteristics. </w:t>
      </w:r>
      <w:proofErr w:type="gramStart"/>
      <w:r w:rsidRPr="00AD08D4">
        <w:rPr>
          <w:rFonts w:ascii="Times New Roman" w:hAnsi="Times New Roman"/>
          <w:spacing w:val="3"/>
          <w:sz w:val="24"/>
          <w:szCs w:val="24"/>
          <w:shd w:val="clear" w:color="auto" w:fill="FFFFFF"/>
          <w:lang w:val="en-US"/>
        </w:rPr>
        <w:t>As a result</w:t>
      </w:r>
      <w:proofErr w:type="gramEnd"/>
      <w:r w:rsidRPr="00AD08D4">
        <w:rPr>
          <w:rFonts w:ascii="Times New Roman" w:hAnsi="Times New Roman"/>
          <w:spacing w:val="3"/>
          <w:sz w:val="24"/>
          <w:szCs w:val="24"/>
          <w:shd w:val="clear" w:color="auto" w:fill="FFFFFF"/>
          <w:lang w:val="en-US"/>
        </w:rPr>
        <w:t xml:space="preserve"> of the optimization, it was possible to significantly reduce the duration of the construction of the complex relative to the originally calculated one, while ensuring a sufficiently uniform distribution of labor during construction.</w:t>
      </w:r>
    </w:p>
    <w:p w:rsidR="00E902F6" w:rsidRPr="00AD08D4" w:rsidRDefault="00E902F6" w:rsidP="00E902F6">
      <w:pPr>
        <w:spacing w:after="160" w:line="256" w:lineRule="auto"/>
        <w:ind w:firstLine="567"/>
        <w:jc w:val="both"/>
        <w:rPr>
          <w:rFonts w:ascii="Times New Roman" w:hAnsi="Times New Roman"/>
          <w:spacing w:val="3"/>
          <w:sz w:val="24"/>
          <w:szCs w:val="24"/>
          <w:shd w:val="clear" w:color="auto" w:fill="FFFFFF"/>
          <w:lang w:val="en-US"/>
        </w:rPr>
      </w:pPr>
      <w:r w:rsidRPr="00AD08D4">
        <w:rPr>
          <w:rFonts w:ascii="Times New Roman" w:hAnsi="Times New Roman"/>
          <w:b/>
          <w:spacing w:val="3"/>
          <w:sz w:val="24"/>
          <w:szCs w:val="24"/>
          <w:shd w:val="clear" w:color="auto" w:fill="FFFFFF"/>
          <w:lang w:val="en-US"/>
        </w:rPr>
        <w:t>Keywords:</w:t>
      </w:r>
      <w:r w:rsidRPr="00AD08D4">
        <w:rPr>
          <w:rFonts w:ascii="Times New Roman" w:hAnsi="Times New Roman"/>
          <w:spacing w:val="3"/>
          <w:sz w:val="24"/>
          <w:szCs w:val="24"/>
          <w:shd w:val="clear" w:color="auto" w:fill="FFFFFF"/>
          <w:lang w:val="en-US"/>
        </w:rPr>
        <w:t xml:space="preserve"> low-rise construction, flow organization of construction, network planning and modeling, calendar plan variant design, calendar plan optimization</w:t>
      </w:r>
    </w:p>
    <w:p w:rsidR="00E902F6" w:rsidRPr="00AD08D4" w:rsidRDefault="00E902F6" w:rsidP="00E902F6">
      <w:pPr>
        <w:spacing w:after="0" w:line="240" w:lineRule="auto"/>
        <w:ind w:firstLine="567"/>
        <w:jc w:val="both"/>
        <w:rPr>
          <w:rFonts w:ascii="Times New Roman" w:hAnsi="Times New Roman"/>
          <w:spacing w:val="3"/>
          <w:sz w:val="24"/>
          <w:szCs w:val="24"/>
          <w:shd w:val="clear" w:color="auto" w:fill="FFFFFF"/>
        </w:rPr>
      </w:pPr>
      <w:r w:rsidRPr="00AD08D4">
        <w:rPr>
          <w:rFonts w:ascii="Times New Roman" w:hAnsi="Times New Roman"/>
          <w:spacing w:val="3"/>
          <w:sz w:val="24"/>
          <w:szCs w:val="24"/>
          <w:shd w:val="clear" w:color="auto" w:fill="FFFFFF"/>
        </w:rPr>
        <w:lastRenderedPageBreak/>
        <w:t>В качестве объекта настоящего исследования рассмотрен объект туристической индустрии, расположенный в г. Сегежа Республики Карелия. Застройка комплекса представлена двумя типами коттеджей, различной компоновки и площади. В рамках исследования рассмотрены девять идентичных зданий с общей площадью каждого здания – 172 м</w:t>
      </w:r>
      <w:r w:rsidRPr="00AD08D4">
        <w:rPr>
          <w:rFonts w:ascii="Times New Roman" w:hAnsi="Times New Roman"/>
          <w:spacing w:val="3"/>
          <w:sz w:val="24"/>
          <w:szCs w:val="24"/>
          <w:shd w:val="clear" w:color="auto" w:fill="FFFFFF"/>
          <w:vertAlign w:val="superscript"/>
        </w:rPr>
        <w:t>2</w:t>
      </w:r>
      <w:r w:rsidRPr="00AD08D4">
        <w:rPr>
          <w:rFonts w:ascii="Times New Roman" w:hAnsi="Times New Roman"/>
          <w:spacing w:val="3"/>
          <w:sz w:val="24"/>
          <w:szCs w:val="24"/>
          <w:shd w:val="clear" w:color="auto" w:fill="FFFFFF"/>
        </w:rPr>
        <w:t xml:space="preserve"> и площадью застройки – 138,8 м</w:t>
      </w:r>
      <w:r w:rsidRPr="00AD08D4">
        <w:rPr>
          <w:rFonts w:ascii="Times New Roman" w:hAnsi="Times New Roman"/>
          <w:spacing w:val="3"/>
          <w:sz w:val="24"/>
          <w:szCs w:val="24"/>
          <w:shd w:val="clear" w:color="auto" w:fill="FFFFFF"/>
          <w:vertAlign w:val="superscript"/>
        </w:rPr>
        <w:t>2</w:t>
      </w:r>
      <w:r w:rsidRPr="00AD08D4">
        <w:rPr>
          <w:rFonts w:ascii="Times New Roman" w:hAnsi="Times New Roman"/>
          <w:spacing w:val="3"/>
          <w:sz w:val="24"/>
          <w:szCs w:val="24"/>
          <w:shd w:val="clear" w:color="auto" w:fill="FFFFFF"/>
        </w:rPr>
        <w:t>. Общая площадь застройки составила 1249 м</w:t>
      </w:r>
      <w:r w:rsidRPr="00AD08D4">
        <w:rPr>
          <w:rFonts w:ascii="Times New Roman" w:hAnsi="Times New Roman"/>
          <w:spacing w:val="3"/>
          <w:sz w:val="24"/>
          <w:szCs w:val="24"/>
          <w:shd w:val="clear" w:color="auto" w:fill="FFFFFF"/>
          <w:vertAlign w:val="superscript"/>
        </w:rPr>
        <w:t>2</w:t>
      </w:r>
      <w:r w:rsidRPr="00AD08D4">
        <w:rPr>
          <w:rFonts w:ascii="Times New Roman" w:hAnsi="Times New Roman"/>
          <w:spacing w:val="3"/>
          <w:sz w:val="24"/>
          <w:szCs w:val="24"/>
          <w:shd w:val="clear" w:color="auto" w:fill="FFFFFF"/>
        </w:rPr>
        <w:t>.</w:t>
      </w:r>
    </w:p>
    <w:p w:rsidR="00E902F6" w:rsidRDefault="00E902F6" w:rsidP="00E902F6">
      <w:pPr>
        <w:pStyle w:val="p4"/>
        <w:ind w:firstLine="567"/>
        <w:jc w:val="both"/>
        <w:rPr>
          <w:color w:val="000000"/>
        </w:rPr>
      </w:pPr>
      <w:r w:rsidRPr="00AD08D4">
        <w:rPr>
          <w:rFonts w:eastAsia="Calibri"/>
          <w:spacing w:val="3"/>
          <w:shd w:val="clear" w:color="auto" w:fill="FFFFFF"/>
          <w:lang w:eastAsia="en-US"/>
        </w:rPr>
        <w:t xml:space="preserve">Здание представляет собой коттедж с мансардой, размерами в плане 10,1 на 12,6 метра (в осях). Высота первого этажа составляет 2,75 метра, высота мансардной части – изменяемая от 1,39 метра до 3,44 метров. Сообщение между этажами осуществляется через внутреннюю деревянную лестницу с забежными ступенями. Высота здания по коньку составляет 6,56 метра. Здание каркасно-панельное с деревянным каркасом с заполнением </w:t>
      </w:r>
      <w:proofErr w:type="spellStart"/>
      <w:r w:rsidRPr="00AD08D4">
        <w:rPr>
          <w:rFonts w:eastAsia="Calibri"/>
          <w:spacing w:val="3"/>
          <w:shd w:val="clear" w:color="auto" w:fill="FFFFFF"/>
          <w:lang w:eastAsia="en-US"/>
        </w:rPr>
        <w:t>минераловатными</w:t>
      </w:r>
      <w:proofErr w:type="spellEnd"/>
      <w:r w:rsidRPr="00AD08D4">
        <w:rPr>
          <w:rFonts w:eastAsia="Calibri"/>
          <w:spacing w:val="3"/>
          <w:shd w:val="clear" w:color="auto" w:fill="FFFFFF"/>
          <w:lang w:eastAsia="en-US"/>
        </w:rPr>
        <w:t xml:space="preserve"> плитами толщиной 200 мм. Наружная облицовка выполнена деревянной доской, а внутри – гипсокартонными листами. Внутренние перегородки по деревянному каркасу. Межэтажное перекрытия – балочное с заполнением </w:t>
      </w:r>
      <w:proofErr w:type="spellStart"/>
      <w:r w:rsidRPr="00AD08D4">
        <w:rPr>
          <w:rFonts w:eastAsia="Calibri"/>
          <w:spacing w:val="3"/>
          <w:shd w:val="clear" w:color="auto" w:fill="FFFFFF"/>
          <w:lang w:eastAsia="en-US"/>
        </w:rPr>
        <w:t>межбалочного</w:t>
      </w:r>
      <w:proofErr w:type="spellEnd"/>
      <w:r w:rsidRPr="00AD08D4">
        <w:rPr>
          <w:rFonts w:eastAsia="Calibri"/>
          <w:spacing w:val="3"/>
          <w:shd w:val="clear" w:color="auto" w:fill="FFFFFF"/>
          <w:lang w:eastAsia="en-US"/>
        </w:rPr>
        <w:t xml:space="preserve"> пространства </w:t>
      </w:r>
      <w:proofErr w:type="spellStart"/>
      <w:r w:rsidRPr="00AD08D4">
        <w:rPr>
          <w:rFonts w:eastAsia="Calibri"/>
          <w:spacing w:val="3"/>
          <w:shd w:val="clear" w:color="auto" w:fill="FFFFFF"/>
          <w:lang w:eastAsia="en-US"/>
        </w:rPr>
        <w:t>минераловатным</w:t>
      </w:r>
      <w:proofErr w:type="spellEnd"/>
      <w:r w:rsidRPr="00AD08D4">
        <w:rPr>
          <w:rFonts w:eastAsia="Calibri"/>
          <w:spacing w:val="3"/>
          <w:shd w:val="clear" w:color="auto" w:fill="FFFFFF"/>
          <w:lang w:eastAsia="en-US"/>
        </w:rPr>
        <w:t xml:space="preserve"> утеплителем для</w:t>
      </w:r>
    </w:p>
    <w:p w:rsidR="00E902F6" w:rsidRDefault="00E902F6" w:rsidP="00E902F6">
      <w:pPr>
        <w:pStyle w:val="p4"/>
        <w:ind w:firstLine="567"/>
        <w:jc w:val="both"/>
        <w:rPr>
          <w:rFonts w:ascii="Calibri" w:eastAsia="Calibri" w:hAnsi="Calibri"/>
          <w:lang w:eastAsia="en-US"/>
        </w:rPr>
      </w:pPr>
      <w:r w:rsidRPr="003419BB">
        <w:rPr>
          <w:b/>
          <w:color w:val="000000"/>
        </w:rPr>
        <w:t>Список литературы</w:t>
      </w:r>
    </w:p>
    <w:p w:rsidR="00E902F6" w:rsidRPr="003419BB" w:rsidRDefault="00E902F6" w:rsidP="00E902F6">
      <w:pPr>
        <w:pStyle w:val="p4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Б</w:t>
      </w:r>
      <w:r w:rsidRPr="003419BB">
        <w:rPr>
          <w:color w:val="000000"/>
        </w:rPr>
        <w:t>ондарева А. В., Зайцева М. И., Никонова Ю. В. Организация предприятий общепита в районе малоэтажной жилой застройки //</w:t>
      </w:r>
      <w:r>
        <w:rPr>
          <w:color w:val="000000"/>
        </w:rPr>
        <w:t xml:space="preserve"> </w:t>
      </w:r>
      <w:r w:rsidRPr="003419BB">
        <w:rPr>
          <w:color w:val="000000"/>
        </w:rPr>
        <w:t>Деревянное малоэтажное домостроение: экономика, архитектура и ресурсосберегающие технологии. –</w:t>
      </w:r>
      <w:r>
        <w:rPr>
          <w:color w:val="000000"/>
        </w:rPr>
        <w:t xml:space="preserve"> Петрозаводск: ПетрГУ. –</w:t>
      </w:r>
      <w:r w:rsidRPr="003419BB">
        <w:rPr>
          <w:color w:val="000000"/>
        </w:rPr>
        <w:t xml:space="preserve"> 2021. – С. 97-102. </w:t>
      </w:r>
    </w:p>
    <w:p w:rsidR="00E902F6" w:rsidRPr="003C75F5" w:rsidRDefault="00E902F6" w:rsidP="00E902F6">
      <w:pPr>
        <w:pStyle w:val="p4"/>
        <w:ind w:firstLine="567"/>
        <w:jc w:val="both"/>
        <w:rPr>
          <w:color w:val="000000"/>
        </w:rPr>
      </w:pPr>
    </w:p>
    <w:p w:rsidR="00E902F6" w:rsidRPr="00AD4A95" w:rsidRDefault="00E902F6" w:rsidP="00E902F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92492F" w:rsidRDefault="00E902F6">
      <w:bookmarkStart w:id="0" w:name="_GoBack"/>
      <w:bookmarkEnd w:id="0"/>
    </w:p>
    <w:sectPr w:rsidR="0092492F" w:rsidSect="007904F7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AC43A7"/>
    <w:multiLevelType w:val="hybridMultilevel"/>
    <w:tmpl w:val="BFF0E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F6"/>
    <w:rsid w:val="003E5473"/>
    <w:rsid w:val="00763D21"/>
    <w:rsid w:val="00E9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3C19C-6BFF-49E6-8DA4-936070F1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2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E902F6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p4">
    <w:name w:val="p4"/>
    <w:basedOn w:val="a"/>
    <w:uiPriority w:val="99"/>
    <w:rsid w:val="00E902F6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Старикова Арина Александровна</dc:creator>
  <cp:keywords/>
  <dc:description/>
  <cp:lastModifiedBy>Старикова Арина Александровна</cp:lastModifiedBy>
  <cp:revision>1</cp:revision>
  <dcterms:created xsi:type="dcterms:W3CDTF">2026-04-08T07:59:00Z</dcterms:created>
  <dcterms:modified xsi:type="dcterms:W3CDTF">2026-04-08T08:00:00Z</dcterms:modified>
</cp:coreProperties>
</file>